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EMILY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HUTCHISON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01/03/1989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+4407566257952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Toutie St, Alyth, Alyth Alyth, Blairgowrie, UK PH118BP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PH118BP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elsh42@outlook.com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Marcus Brown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+4407930654147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Caspian Hutchison Brown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29/06/2023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