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Ramon Torrescasana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39354858H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Pau Torrescasana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8/5/2010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Ramon Torrescasana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