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Елиана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Гендурова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eliana.gendurova@gmail.com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+359887867102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28.7.1990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1.7.2016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Андрей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30.8.2018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Рая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31.7.2022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