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Wojtyniak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madzia_56@poczta.onet.pl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+48506987710 ,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Wojtyniak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Wojtyniak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28.09.2015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Nikodem Wojtyniak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15.03.2019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