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17 Winton Crescent, Woodbridge Island, Cape Town, Western Cape, South Africa Cape Town, South Africa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+27718972471</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2026/07/09</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Connor  , with birthdate 2015/07/07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Mila , with birthdate 2016/03/16</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Jessica</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Carpenter</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9006250131081</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