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gary@byrcon.co.uk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+48790610048 ,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Choinska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