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Topolska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aw.topolska@gmail.com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+48601240599 ,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Topolska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Tymoteusz Szymański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03.09.2014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Topolski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Maria Szymańska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16.04.2012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