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Цветомила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Савчева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20.1.1988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+359896040964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tsvetsavcheva@abv.bg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Ния Савчева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25.8.2014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Яна Савчева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18.9.2017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10.7.2026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