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Martín Mateos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71736912G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22/04/2002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+34677117100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danimartinm02@gmail.com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08/07/2026</w:t>
      </w:r>
      <w:r w:rsidR="00C302CD">
        <w:rPr>
          <w:sz w:val="22"/>
          <w:szCs w:val="22"/>
          <w:lang w:val="bg-BG"/>
        </w:rPr>
        <w:t xml:space="preserve">                        </w:t>
      </w:r>
      <w:r w:rsidR="00513D8D">
        <w:rPr>
          <w:sz w:val="22"/>
          <w:szCs w:val="22"/>
        </w:rPr>
        <w:t xml:space="preserve">                        </w:t>
      </w:r>
      <w:r w:rsidR="00213D63">
        <w:rPr>
          <w:sz w:val="22"/>
          <w:szCs w:val="22"/>
          <w:lang w:val="en-US"/>
        </w:rPr>
        <w:t xml:space="preserve">Daniel Martín Mateos </w:t>
      </w:r>
      <w:r w:rsidR="00213D63">
        <w:rPr>
          <w:sz w:val="22"/>
          <w:szCs w:val="22"/>
          <w:lang w:val="en-US"/>
        </w:rPr>
        <w:br/>
        <w:t xml:space="preserve">                                                                                   </w:t>
      </w:r>
      <w:r w:rsidRPr="002F4A70" w:rsidR="002F4A70">
        <w:rPr>
          <w:sz w:val="22"/>
          <w:szCs w:val="22"/>
          <w:lang w:val="en-US"/>
        </w:rPr>
        <w:t>71736912G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