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Wojtania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A.t.wojtania@gmail.com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+48691583316 ,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Anastazja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02.10.2016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Tymoteusz</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04.11.2021</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Aurelia</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12.05.2021</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12.07.2026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