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Leonardo Memo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MMELRD74H01L736P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01/06/1974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G. Manzoni 13 Paese, TV, Italia 31038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leonardomemo01@gmail.com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+393283353248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