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Praska-Kruszyñska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asja@fiis.pl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+48600814080 ,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NinaJabloñska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Maria Kubiak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23.12.2019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Leonardo Noyola Stankowski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17.07.2016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