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Георги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Ганчев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ganchevg307@gmail.com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+359884688294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16.3.2010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Константин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6.4.2011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