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Carla  Gouveia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26/05/1993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+351919349786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265937183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carlagouveia_26@hotmail.com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Palmela, Portugal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2950-525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919349786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+351919349786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Afonso Salgado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25/02/2017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09/07/2026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Carla Gouveia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