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TestingXperts - Software Testing Company, IT Park Road, Phase - I, Sector 13, Chandigarh, India TestingXperts - Software Testing Company, IT Park Road, Phase - I, Sector 13, Chandigarh, India 85646354</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+27123456789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2026/07/10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Yana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Georgieva</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