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renata-grabowska212@wp.pl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+48504123740 ,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MarcelinaGrabowska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Hanna Misiak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05.11.2014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Bernaciak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Amelia Tomanek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26.03.2015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