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Edgar</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De Faria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31/10/1978</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+351919184251</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nunoedgarfaria@gmail.com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Carlota de Faria                                           data de nascimento: 17/09/2015</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09/07/2026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