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Ptaszyński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aasiaa10@wp.pl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+48691182107 ,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Ptaszyńska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29.08.2016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Piotr Ptaszyński</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18.01.2023</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Joanna Ptaszyńska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20.06.2018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Hanna Ptaszyńska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21.07.2020</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