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Vera Karpova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