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Nawrocka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zanna.nawrocka@wp.pl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+48604529768 ,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Nawrocka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Nawrocka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10.07.2016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Hanna Nawrocka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02.03.2021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