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rae lee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326 parkview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sygl1839@gmail.com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+18472690747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