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+359887744582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monika.deneva@gmail.com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Джиа Ценов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