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Марина Звонарьова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+380999692852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Максим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14.5.2024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Роман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7.9.2018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