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+359887635364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krankov@solitex.biz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Валери Ранков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