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żłobińska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nattaliax33@wp.pl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+48721404597 ,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 mielczarek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