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Silvia</w:t>
      </w:r>
      <w:r>
        <w:rPr>
          <w:sz w:val="20"/>
        </w:rPr>
        <w:t>_____ Surname_______</w:t>
      </w:r>
      <w:r w:rsidRPr="00383DBE" w:rsidR="00383DBE">
        <w:rPr>
          <w:sz w:val="20"/>
        </w:rPr>
        <w:t>Virtosu</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România</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România România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25.03.2000</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No</w:t>
      </w:r>
    </w:p>
    <w:p w:rsidR="0070283E" w:rsidP="000C7CE0" w:rsidRDefault="0082435E" w14:paraId="456F0361" w14:textId="01DCBB8C">
      <w:pPr>
        <w:pStyle w:val="Heading1"/>
        <w:spacing w:after="650"/>
        <w:ind w:left="0" w:right="3" w:firstLine="0"/>
      </w:pPr>
      <w:r>
        <w:t>Telephone____</w:t>
      </w:r>
      <w:r w:rsidRPr="005A2181" w:rsidR="005A2181">
        <w:t>+40755737290</w:t>
      </w:r>
      <w:r>
        <w:t>_____ E-mail__________</w:t>
      </w:r>
      <w:r w:rsidRPr="005A2181" w:rsidR="005A2181">
        <w:t>silvia.virtosu@gmail.com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04.07.2026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04.07.2026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04.07.2026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04.07.2026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