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george</w:t>
      </w:r>
      <w:r>
        <w:rPr>
          <w:sz w:val="20"/>
        </w:rPr>
        <w:t>_____ Surname_______</w:t>
      </w:r>
      <w:r w:rsidRPr="00383DBE" w:rsidR="00383DBE">
        <w:rPr>
          <w:sz w:val="20"/>
        </w:rPr>
        <w:t>Blanar</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Romania</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Romania Romania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17/05/2000</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None</w:t>
      </w:r>
    </w:p>
    <w:p w:rsidR="0070283E" w:rsidP="000C7CE0" w:rsidRDefault="0082435E" w14:paraId="456F0361" w14:textId="01DCBB8C">
      <w:pPr>
        <w:pStyle w:val="Heading1"/>
        <w:spacing w:after="650"/>
        <w:ind w:left="0" w:right="3" w:firstLine="0"/>
      </w:pPr>
      <w:r>
        <w:t>Telephone____</w:t>
      </w:r>
      <w:r w:rsidRPr="005A2181" w:rsidR="005A2181">
        <w:t>+40771490884</w:t>
      </w:r>
      <w:r>
        <w:t>_____ E-mail__________</w:t>
      </w:r>
      <w:r w:rsidRPr="005A2181" w:rsidR="005A2181">
        <w:t>g.blanar82@gmail.com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04/07/2026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04/07/2026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04/07/2026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04/07/2026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