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Krawczyk Kasprzak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krawczyk.norbert@o2.pl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+48516622947 ,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kasprzak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30.10.2021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Maja kasprzak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09.01.2019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Tymon Kasprzak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12.04.2016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