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Klink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marcin.piotr.klink@gmail.com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+48508599997 ,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Klink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10.03.2015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Nadia Klink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07.07.2021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Jan Szyndlar</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18.07.2010</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